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40F6D" w14:textId="20467760" w:rsidR="003169E3" w:rsidRDefault="003169E3" w:rsidP="003169E3">
      <w:pPr>
        <w:jc w:val="center"/>
        <w:rPr>
          <w:b/>
          <w:color w:val="002060"/>
          <w:sz w:val="28"/>
          <w:szCs w:val="28"/>
          <w:lang w:val="mk-MK"/>
        </w:rPr>
      </w:pPr>
      <w:r w:rsidRPr="00C16E24">
        <w:rPr>
          <w:b/>
          <w:color w:val="002060"/>
          <w:sz w:val="28"/>
          <w:szCs w:val="28"/>
          <w:lang w:val="mk-MK"/>
        </w:rPr>
        <w:t>ЛИСТА ЗА ПРОВЕРКА</w:t>
      </w:r>
    </w:p>
    <w:p w14:paraId="0BB08B70" w14:textId="77777777" w:rsidR="003169E3" w:rsidRPr="00BF6A54" w:rsidRDefault="003169E3" w:rsidP="003169E3">
      <w:pPr>
        <w:rPr>
          <w:b/>
          <w:lang w:val="mk-MK"/>
        </w:rPr>
      </w:pPr>
    </w:p>
    <w:p w14:paraId="560E397A" w14:textId="77777777" w:rsidR="00F22659" w:rsidRDefault="003169E3" w:rsidP="00803E2B">
      <w:pPr>
        <w:shd w:val="clear" w:color="auto" w:fill="D9E2F3" w:themeFill="accent5" w:themeFillTint="33"/>
        <w:ind w:left="3600" w:hanging="3600"/>
        <w:rPr>
          <w:b/>
          <w:color w:val="C00000"/>
          <w:lang w:val="en-US"/>
        </w:rPr>
      </w:pPr>
      <w:r w:rsidRPr="00BF6A54">
        <w:rPr>
          <w:b/>
          <w:color w:val="C00000"/>
          <w:lang w:val="mk-MK"/>
        </w:rPr>
        <w:t>Назив на закон:</w:t>
      </w:r>
      <w:r w:rsidR="00400F98">
        <w:rPr>
          <w:b/>
          <w:color w:val="C00000"/>
          <w:lang w:val="mk-MK"/>
        </w:rPr>
        <w:t xml:space="preserve"> </w:t>
      </w:r>
      <w:r w:rsidR="00803E2B">
        <w:rPr>
          <w:b/>
          <w:color w:val="C00000"/>
          <w:lang w:val="mk-MK"/>
        </w:rPr>
        <w:tab/>
      </w:r>
      <w:r w:rsidR="00400F98">
        <w:rPr>
          <w:b/>
          <w:color w:val="C00000"/>
          <w:lang w:val="mk-MK"/>
        </w:rPr>
        <w:t>Закон за техничката инспекција</w:t>
      </w:r>
      <w:r w:rsidR="0092434F">
        <w:rPr>
          <w:b/>
          <w:color w:val="C00000"/>
          <w:lang w:val="mk-MK"/>
        </w:rPr>
        <w:t xml:space="preserve"> </w:t>
      </w:r>
      <w:r w:rsidR="0092434F" w:rsidRPr="00803E2B">
        <w:rPr>
          <w:b/>
          <w:i/>
          <w:iCs/>
          <w:color w:val="C00000"/>
          <w:lang w:val="mk-MK"/>
        </w:rPr>
        <w:t>(„Службен весник на Република Македонија“ бр. 88/08, 119/10, 36/11, 136/11, 164/13, 41/14, 33/15, 61/15, 154/15 и 53/16</w:t>
      </w:r>
      <w:r w:rsidR="0092434F" w:rsidRPr="0092434F">
        <w:rPr>
          <w:b/>
          <w:color w:val="C00000"/>
          <w:lang w:val="mk-MK"/>
        </w:rPr>
        <w:t>)</w:t>
      </w:r>
      <w:r w:rsidRPr="00BF6A54">
        <w:rPr>
          <w:b/>
          <w:color w:val="C00000"/>
          <w:lang w:val="mk-MK"/>
        </w:rPr>
        <w:tab/>
      </w:r>
    </w:p>
    <w:p w14:paraId="0EE1FC11" w14:textId="62EE3BF8" w:rsidR="003169E3" w:rsidRPr="00BF6A54" w:rsidRDefault="00F22659" w:rsidP="00803E2B">
      <w:pPr>
        <w:shd w:val="clear" w:color="auto" w:fill="D9E2F3" w:themeFill="accent5" w:themeFillTint="33"/>
        <w:ind w:left="3600" w:hanging="3600"/>
        <w:rPr>
          <w:b/>
          <w:color w:val="C00000"/>
          <w:u w:val="single"/>
          <w:lang w:val="mk-MK"/>
        </w:rPr>
      </w:pPr>
      <w:r>
        <w:rPr>
          <w:b/>
          <w:color w:val="C00000"/>
          <w:lang w:val="en-US"/>
        </w:rPr>
        <w:tab/>
      </w:r>
      <w:r>
        <w:rPr>
          <w:b/>
          <w:color w:val="C00000"/>
          <w:lang w:val="mk-MK"/>
        </w:rPr>
        <w:t xml:space="preserve">Правилник за опрема под притисок </w:t>
      </w:r>
      <w:r w:rsidRPr="00F22659">
        <w:rPr>
          <w:b/>
          <w:i/>
          <w:color w:val="C00000"/>
          <w:lang w:val="mk-MK"/>
        </w:rPr>
        <w:t xml:space="preserve">(Сл.в.на РМ бр.17/2007) </w:t>
      </w:r>
      <w:r>
        <w:rPr>
          <w:b/>
          <w:color w:val="C00000"/>
          <w:lang w:val="mk-MK"/>
        </w:rPr>
        <w:t xml:space="preserve">; Правилник за користење на опрема под притисок </w:t>
      </w:r>
      <w:r w:rsidRPr="00F22659">
        <w:rPr>
          <w:b/>
          <w:i/>
          <w:color w:val="C00000"/>
          <w:lang w:val="mk-MK"/>
        </w:rPr>
        <w:t>(Сл.в.на РМ бр.32/2009)</w:t>
      </w:r>
      <w:r w:rsidR="003169E3" w:rsidRPr="00F22659">
        <w:rPr>
          <w:b/>
          <w:i/>
          <w:color w:val="C00000"/>
          <w:lang w:val="mk-MK"/>
        </w:rPr>
        <w:tab/>
      </w:r>
      <w:r w:rsidR="009D6C4B">
        <w:rPr>
          <w:b/>
          <w:color w:val="C00000"/>
          <w:lang w:val="mk-MK"/>
        </w:rPr>
        <w:tab/>
      </w:r>
    </w:p>
    <w:p w14:paraId="0E8FCA62" w14:textId="164B96ED" w:rsidR="003169E3" w:rsidRPr="00BF6A54" w:rsidRDefault="003169E3" w:rsidP="003169E3">
      <w:pPr>
        <w:shd w:val="clear" w:color="auto" w:fill="D9E2F3" w:themeFill="accent5" w:themeFillTint="33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Субјекти на надзор:</w:t>
      </w:r>
      <w:r w:rsidR="00400F98">
        <w:rPr>
          <w:b/>
          <w:color w:val="C00000"/>
          <w:lang w:val="mk-MK"/>
        </w:rPr>
        <w:t xml:space="preserve"> </w:t>
      </w:r>
    </w:p>
    <w:p w14:paraId="3D53B98A" w14:textId="7EF7372D" w:rsidR="003169E3" w:rsidRDefault="003169E3" w:rsidP="005C29B6">
      <w:pPr>
        <w:shd w:val="clear" w:color="auto" w:fill="D9E2F3" w:themeFill="accent5" w:themeFillTint="33"/>
        <w:spacing w:after="0" w:line="257" w:lineRule="auto"/>
        <w:rPr>
          <w:b/>
          <w:color w:val="C00000"/>
          <w:lang w:val="mk-MK"/>
        </w:rPr>
      </w:pPr>
      <w:r w:rsidRPr="00BF6A54">
        <w:rPr>
          <w:b/>
          <w:color w:val="C00000"/>
          <w:lang w:val="mk-MK"/>
        </w:rPr>
        <w:t>Надлежна инспекциска служба:</w:t>
      </w:r>
      <w:r w:rsidR="00400F98">
        <w:rPr>
          <w:b/>
          <w:color w:val="C00000"/>
          <w:lang w:val="en-US"/>
        </w:rPr>
        <w:t xml:space="preserve"> </w:t>
      </w:r>
      <w:r w:rsidR="00803E2B">
        <w:rPr>
          <w:b/>
          <w:color w:val="C00000"/>
          <w:lang w:val="en-US"/>
        </w:rPr>
        <w:tab/>
      </w:r>
      <w:r w:rsidR="00400F98">
        <w:rPr>
          <w:b/>
          <w:color w:val="C00000"/>
          <w:lang w:val="mk-MK"/>
        </w:rPr>
        <w:t>Држав</w:t>
      </w:r>
      <w:r w:rsidR="003F1E46">
        <w:rPr>
          <w:b/>
          <w:color w:val="C00000"/>
          <w:lang w:val="mk-MK"/>
        </w:rPr>
        <w:t>ен инспекторат за</w:t>
      </w:r>
      <w:r w:rsidR="00400F98">
        <w:rPr>
          <w:b/>
          <w:color w:val="C00000"/>
          <w:lang w:val="mk-MK"/>
        </w:rPr>
        <w:t xml:space="preserve"> техничка инспекција</w:t>
      </w:r>
      <w:r w:rsidRPr="00BF6A54">
        <w:rPr>
          <w:b/>
          <w:color w:val="C00000"/>
          <w:lang w:val="mk-MK"/>
        </w:rPr>
        <w:tab/>
      </w:r>
    </w:p>
    <w:p w14:paraId="74C5CB01" w14:textId="2E7304BF" w:rsidR="005C29B6" w:rsidRPr="00BF6A54" w:rsidRDefault="005C29B6" w:rsidP="005C29B6">
      <w:pPr>
        <w:shd w:val="clear" w:color="auto" w:fill="D9E2F3" w:themeFill="accent5" w:themeFillTint="33"/>
        <w:spacing w:after="0" w:line="257" w:lineRule="auto"/>
        <w:rPr>
          <w:b/>
          <w:color w:val="C00000"/>
          <w:u w:val="single"/>
          <w:lang w:val="mk-MK"/>
        </w:rPr>
      </w:pPr>
      <w:r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</w:r>
      <w:r>
        <w:rPr>
          <w:b/>
          <w:color w:val="C00000"/>
          <w:lang w:val="mk-MK"/>
        </w:rPr>
        <w:tab/>
        <w:t>Одделение за опрема под притисок</w:t>
      </w:r>
    </w:p>
    <w:p w14:paraId="5001B5DA" w14:textId="50D6954C" w:rsidR="00C16E24" w:rsidRDefault="00C16E24">
      <w:pPr>
        <w:spacing w:line="259" w:lineRule="auto"/>
        <w:rPr>
          <w:b/>
          <w:color w:val="C00000"/>
          <w:lang w:val="mk-MK"/>
        </w:rPr>
      </w:pPr>
    </w:p>
    <w:p w14:paraId="42FF297F" w14:textId="2F89D750" w:rsidR="00C16E24" w:rsidRPr="00C16E24" w:rsidRDefault="00C16E24" w:rsidP="00C16E24">
      <w:pPr>
        <w:jc w:val="both"/>
        <w:rPr>
          <w:rFonts w:cstheme="minorHAnsi"/>
          <w:b/>
          <w:bCs/>
          <w:color w:val="C00000"/>
          <w:lang w:val="mk-MK"/>
        </w:rPr>
      </w:pPr>
      <w:r w:rsidRPr="00C16E24">
        <w:rPr>
          <w:rFonts w:cstheme="minorHAnsi"/>
          <w:b/>
          <w:bCs/>
          <w:color w:val="C00000"/>
          <w:lang w:val="mk-MK"/>
        </w:rPr>
        <w:t>Податоци за субјектот на надзор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14:paraId="6A16D6BA" w14:textId="77777777" w:rsidTr="009D6C4B">
        <w:tc>
          <w:tcPr>
            <w:tcW w:w="4248" w:type="dxa"/>
          </w:tcPr>
          <w:p w14:paraId="160CD527" w14:textId="695DD014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Полн назив на субјектот на надзор</w:t>
            </w:r>
          </w:p>
        </w:tc>
        <w:tc>
          <w:tcPr>
            <w:tcW w:w="9306" w:type="dxa"/>
          </w:tcPr>
          <w:p w14:paraId="055A08F8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5592E5E2" w14:textId="77777777" w:rsidTr="009D6C4B">
        <w:tc>
          <w:tcPr>
            <w:tcW w:w="4248" w:type="dxa"/>
          </w:tcPr>
          <w:p w14:paraId="09388619" w14:textId="2480456C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Седиште на субјектот на надзор</w:t>
            </w:r>
          </w:p>
        </w:tc>
        <w:tc>
          <w:tcPr>
            <w:tcW w:w="9306" w:type="dxa"/>
          </w:tcPr>
          <w:p w14:paraId="587D2F78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1EFCD6F4" w14:textId="77777777" w:rsidTr="009D6C4B">
        <w:tc>
          <w:tcPr>
            <w:tcW w:w="4248" w:type="dxa"/>
          </w:tcPr>
          <w:p w14:paraId="7F8A0064" w14:textId="0BF712F9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Единствен матичен број на субјектот</w:t>
            </w:r>
          </w:p>
        </w:tc>
        <w:tc>
          <w:tcPr>
            <w:tcW w:w="9306" w:type="dxa"/>
          </w:tcPr>
          <w:p w14:paraId="6C3DEEBE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32821FEE" w14:textId="77777777" w:rsidTr="009D6C4B">
        <w:tc>
          <w:tcPr>
            <w:tcW w:w="4248" w:type="dxa"/>
          </w:tcPr>
          <w:p w14:paraId="64CEFFB7" w14:textId="0C0136E3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Шифра и назив на претежна дејност на субјектот на надзор</w:t>
            </w:r>
          </w:p>
        </w:tc>
        <w:tc>
          <w:tcPr>
            <w:tcW w:w="9306" w:type="dxa"/>
          </w:tcPr>
          <w:p w14:paraId="74350EB5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2670FFAA" w14:textId="77777777" w:rsidTr="009D6C4B">
        <w:tc>
          <w:tcPr>
            <w:tcW w:w="4248" w:type="dxa"/>
          </w:tcPr>
          <w:p w14:paraId="450FAFC6" w14:textId="6EF86A75" w:rsidR="00C16E24" w:rsidRPr="00C16E24" w:rsidRDefault="00C16E24">
            <w:pPr>
              <w:spacing w:line="259" w:lineRule="auto"/>
              <w:rPr>
                <w:b/>
                <w:bCs/>
                <w:color w:val="C00000"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законски застапник на субјектот на надзор</w:t>
            </w:r>
          </w:p>
        </w:tc>
        <w:tc>
          <w:tcPr>
            <w:tcW w:w="9306" w:type="dxa"/>
          </w:tcPr>
          <w:p w14:paraId="05D70F42" w14:textId="77777777" w:rsidR="00C16E24" w:rsidRDefault="00C16E24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14:paraId="532A7381" w14:textId="508E39C5" w:rsidR="00C16E24" w:rsidRDefault="00C16E24">
      <w:pPr>
        <w:spacing w:line="259" w:lineRule="auto"/>
        <w:rPr>
          <w:b/>
          <w:color w:val="C00000"/>
          <w:lang w:val="mk-MK"/>
        </w:rPr>
      </w:pPr>
    </w:p>
    <w:p w14:paraId="7B4B0AD0" w14:textId="794F07B3"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t>Податоци за инспекцискиот надзор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9306"/>
      </w:tblGrid>
      <w:tr w:rsidR="00C16E24" w14:paraId="0B7BA548" w14:textId="77777777" w:rsidTr="009D6C4B">
        <w:tc>
          <w:tcPr>
            <w:tcW w:w="4248" w:type="dxa"/>
          </w:tcPr>
          <w:p w14:paraId="291A09B2" w14:textId="5615E8C2" w:rsidR="00C16E24" w:rsidRPr="00C16E24" w:rsidRDefault="00C16E24" w:rsidP="00C16E24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Датум и место на спроведување на надзорот</w:t>
            </w:r>
          </w:p>
        </w:tc>
        <w:tc>
          <w:tcPr>
            <w:tcW w:w="9306" w:type="dxa"/>
          </w:tcPr>
          <w:p w14:paraId="66F2CBA7" w14:textId="77777777" w:rsidR="00C16E24" w:rsidRDefault="00C16E24" w:rsidP="00EE1D15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324F08C1" w14:textId="77777777" w:rsidTr="009D6C4B">
        <w:tc>
          <w:tcPr>
            <w:tcW w:w="4248" w:type="dxa"/>
          </w:tcPr>
          <w:p w14:paraId="218065F1" w14:textId="77777777" w:rsidR="00C16E24" w:rsidRPr="00C16E24" w:rsidRDefault="00C16E24" w:rsidP="00EE1D15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Предмет на инспекциски надзор</w:t>
            </w:r>
          </w:p>
        </w:tc>
        <w:tc>
          <w:tcPr>
            <w:tcW w:w="9306" w:type="dxa"/>
          </w:tcPr>
          <w:p w14:paraId="55D39D86" w14:textId="77777777" w:rsidR="00C16E24" w:rsidRDefault="00C16E24" w:rsidP="00EE1D15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  <w:tr w:rsidR="00C16E24" w14:paraId="384707D6" w14:textId="77777777" w:rsidTr="009D6C4B">
        <w:tc>
          <w:tcPr>
            <w:tcW w:w="4248" w:type="dxa"/>
          </w:tcPr>
          <w:p w14:paraId="1D0F9D3F" w14:textId="77777777" w:rsidR="00C16E24" w:rsidRPr="00C16E24" w:rsidRDefault="00C16E24" w:rsidP="00EE1D15">
            <w:pPr>
              <w:jc w:val="both"/>
              <w:rPr>
                <w:rFonts w:cstheme="minorHAnsi"/>
                <w:b/>
                <w:bCs/>
                <w:lang w:val="mk-MK"/>
              </w:rPr>
            </w:pPr>
            <w:r w:rsidRPr="00C16E24">
              <w:rPr>
                <w:rFonts w:cstheme="minorHAnsi"/>
                <w:b/>
                <w:bCs/>
                <w:lang w:val="mk-MK"/>
              </w:rPr>
              <w:t>Име/презиме на инспекторот</w:t>
            </w:r>
          </w:p>
        </w:tc>
        <w:tc>
          <w:tcPr>
            <w:tcW w:w="9306" w:type="dxa"/>
          </w:tcPr>
          <w:p w14:paraId="7B103826" w14:textId="77777777" w:rsidR="00C16E24" w:rsidRDefault="00C16E24" w:rsidP="00EE1D15">
            <w:pPr>
              <w:spacing w:line="259" w:lineRule="auto"/>
              <w:rPr>
                <w:b/>
                <w:color w:val="C00000"/>
                <w:lang w:val="mk-MK"/>
              </w:rPr>
            </w:pPr>
          </w:p>
        </w:tc>
      </w:tr>
    </w:tbl>
    <w:p w14:paraId="60C809B9" w14:textId="77777777" w:rsidR="00C16E24" w:rsidRDefault="00C16E24">
      <w:pPr>
        <w:spacing w:line="259" w:lineRule="auto"/>
        <w:rPr>
          <w:b/>
          <w:color w:val="C00000"/>
          <w:lang w:val="mk-MK"/>
        </w:rPr>
      </w:pPr>
    </w:p>
    <w:p w14:paraId="38598D50" w14:textId="5C3E786A" w:rsidR="00C16E24" w:rsidRDefault="00C16E24">
      <w:pPr>
        <w:spacing w:line="259" w:lineRule="auto"/>
        <w:rPr>
          <w:b/>
          <w:color w:val="C00000"/>
          <w:lang w:val="mk-MK"/>
        </w:rPr>
      </w:pPr>
      <w:r>
        <w:rPr>
          <w:b/>
          <w:color w:val="C00000"/>
          <w:lang w:val="mk-MK"/>
        </w:rPr>
        <w:br w:type="page"/>
      </w:r>
    </w:p>
    <w:p w14:paraId="639E740A" w14:textId="77777777" w:rsidR="003169E3" w:rsidRPr="00BF6A54" w:rsidRDefault="003169E3" w:rsidP="00C16E24">
      <w:pPr>
        <w:rPr>
          <w:b/>
          <w:color w:val="C00000"/>
          <w:lang w:val="mk-MK"/>
        </w:rPr>
      </w:pPr>
    </w:p>
    <w:tbl>
      <w:tblPr>
        <w:tblStyle w:val="TableGrid"/>
        <w:tblW w:w="5310" w:type="pct"/>
        <w:tblInd w:w="0" w:type="dxa"/>
        <w:tblLook w:val="04A0" w:firstRow="1" w:lastRow="0" w:firstColumn="1" w:lastColumn="0" w:noHBand="0" w:noVBand="1"/>
      </w:tblPr>
      <w:tblGrid>
        <w:gridCol w:w="1232"/>
        <w:gridCol w:w="3837"/>
        <w:gridCol w:w="1469"/>
        <w:gridCol w:w="1367"/>
        <w:gridCol w:w="3805"/>
        <w:gridCol w:w="2924"/>
      </w:tblGrid>
      <w:tr w:rsidR="00910E09" w:rsidRPr="00BF6A54" w14:paraId="5FE2DBA8" w14:textId="77777777" w:rsidTr="009957E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AA5A6A" w14:textId="4A95D922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5B75C3" w14:textId="77777777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Законска обврска / барање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C1B159" w14:textId="77777777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Усогласеност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2BD98AC" w14:textId="798FBA36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Бр</w:t>
            </w:r>
            <w:r w:rsidR="009D6C4B">
              <w:rPr>
                <w:b/>
                <w:lang w:val="mk-MK"/>
              </w:rPr>
              <w:t>ој</w:t>
            </w:r>
            <w:r w:rsidRPr="00BF6A54">
              <w:rPr>
                <w:b/>
                <w:lang w:val="mk-MK"/>
              </w:rPr>
              <w:t xml:space="preserve"> на член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96C358" w14:textId="6824D35B" w:rsidR="003169E3" w:rsidRPr="00BF6A54" w:rsidRDefault="003169E3" w:rsidP="00141867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Прекршо</w:t>
            </w:r>
            <w:r w:rsidR="002A1F75">
              <w:rPr>
                <w:b/>
                <w:lang w:val="mk-MK"/>
              </w:rPr>
              <w:t>ци и мерки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D0DE09" w14:textId="77777777" w:rsidR="003169E3" w:rsidRPr="00BF6A54" w:rsidRDefault="003169E3" w:rsidP="00910E09">
            <w:p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r w:rsidRPr="00BF6A54">
              <w:rPr>
                <w:b/>
                <w:lang w:val="mk-MK"/>
              </w:rPr>
              <w:t>Забелешка</w:t>
            </w:r>
          </w:p>
        </w:tc>
      </w:tr>
      <w:tr w:rsidR="00C23E12" w:rsidRPr="00C97D91" w14:paraId="215834D9" w14:textId="77777777" w:rsidTr="00910E0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93A61C" w14:textId="48216779" w:rsidR="00C23E12" w:rsidRPr="00C97D91" w:rsidRDefault="00C26868" w:rsidP="008B198D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proofErr w:type="spellStart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Техничка</w:t>
            </w:r>
            <w:proofErr w:type="spellEnd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инспекција</w:t>
            </w:r>
            <w:proofErr w:type="spellEnd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при</w:t>
            </w:r>
            <w:proofErr w:type="spellEnd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ставање</w:t>
            </w:r>
            <w:proofErr w:type="spellEnd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во</w:t>
            </w:r>
            <w:proofErr w:type="spellEnd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97D9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употреба</w:t>
            </w:r>
            <w:proofErr w:type="spellEnd"/>
          </w:p>
        </w:tc>
      </w:tr>
      <w:tr w:rsidR="009957EC" w:rsidRPr="00BF6A54" w14:paraId="66890CF0" w14:textId="77777777" w:rsidTr="008C03B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D61DB8" w14:textId="469F2660" w:rsidR="009957EC" w:rsidRPr="00BF6A54" w:rsidRDefault="009957EC" w:rsidP="0031772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>Член</w:t>
            </w:r>
            <w:r>
              <w:rPr>
                <w:lang w:val="mk-MK"/>
              </w:rPr>
              <w:t xml:space="preserve"> 30 став (1) 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F20D7" w14:textId="6AF47018" w:rsidR="009957EC" w:rsidRDefault="009957EC" w:rsidP="00EE1D1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п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о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спроведен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прв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преглед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en-US"/>
              </w:rPr>
              <w:t xml:space="preserve">e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поднесено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барање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ставање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употреба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в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о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рок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осум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добивањето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извештајот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извршениот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преглед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. </w:t>
            </w:r>
          </w:p>
          <w:p w14:paraId="4376FB9A" w14:textId="77777777" w:rsidR="009957EC" w:rsidRPr="00BD2E6A" w:rsidRDefault="009957EC" w:rsidP="00EE1D1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  <w:p w14:paraId="15DBC1D5" w14:textId="77777777" w:rsidR="009957EC" w:rsidRPr="00BF6A54" w:rsidRDefault="009957EC" w:rsidP="00EE1D1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04410" w14:textId="77777777" w:rsidR="009957EC" w:rsidRDefault="009957EC" w:rsidP="00CF1D8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137018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78665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01909EB5" w14:textId="1F5F3FCD" w:rsidR="009957EC" w:rsidRPr="009D6C4B" w:rsidRDefault="009957EC" w:rsidP="00CF1D88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8A34C" w14:textId="4AF8C734" w:rsidR="009957EC" w:rsidRDefault="009957EC" w:rsidP="001246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37-а став (1) </w:t>
            </w:r>
            <w:r>
              <w:rPr>
                <w:lang w:val="mk-MK"/>
              </w:rPr>
              <w:br/>
              <w:t>точка 3</w:t>
            </w:r>
          </w:p>
          <w:p w14:paraId="4E5CA2A0" w14:textId="1DA52712" w:rsidR="009957EC" w:rsidRPr="008355C3" w:rsidRDefault="009957EC" w:rsidP="00124697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 xml:space="preserve">38 </w:t>
            </w:r>
            <w:r>
              <w:rPr>
                <w:lang w:val="mk-MK"/>
              </w:rPr>
              <w:br/>
              <w:t xml:space="preserve">став (1) </w:t>
            </w:r>
            <w:r>
              <w:rPr>
                <w:lang w:val="mk-MK"/>
              </w:rPr>
              <w:br/>
              <w:t xml:space="preserve">точка 3, </w:t>
            </w:r>
            <w:r>
              <w:rPr>
                <w:lang w:val="mk-MK"/>
              </w:rPr>
              <w:br/>
              <w:t xml:space="preserve">став (2), </w:t>
            </w:r>
            <w:r>
              <w:rPr>
                <w:lang w:val="mk-MK"/>
              </w:rPr>
              <w:br/>
              <w:t xml:space="preserve">став (3), </w:t>
            </w:r>
            <w:r>
              <w:rPr>
                <w:lang w:val="mk-MK"/>
              </w:rPr>
              <w:br/>
              <w:t>став (4)  и став (5)</w:t>
            </w:r>
          </w:p>
          <w:p w14:paraId="4998DDB6" w14:textId="5FE42497" w:rsidR="009957EC" w:rsidRPr="00BF6A54" w:rsidRDefault="009957EC" w:rsidP="00EE1D1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3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C2E2" w14:textId="77777777" w:rsidR="009957EC" w:rsidRPr="00D3007D" w:rsidRDefault="009957EC" w:rsidP="005C29B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Инспекторот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донесе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решение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дејност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запечатување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просториите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објектите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градилиштата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средствата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работа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други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средства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отстранување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неправилностите</w:t>
            </w:r>
          </w:p>
          <w:p w14:paraId="52665ED2" w14:textId="77777777" w:rsidR="009957EC" w:rsidRDefault="009957EC" w:rsidP="005C29B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7.000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денарска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противвредност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прекршок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  <w:p w14:paraId="3C508EC2" w14:textId="77777777" w:rsidR="009957EC" w:rsidRDefault="009957EC" w:rsidP="005C29B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30%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одмерената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биде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  <w:p w14:paraId="7981749A" w14:textId="77777777" w:rsidR="009957EC" w:rsidRDefault="009957EC" w:rsidP="005C29B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700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1.000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денарска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противвредност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физичко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</w:p>
          <w:p w14:paraId="766326C3" w14:textId="77777777" w:rsidR="009957EC" w:rsidRDefault="009957EC" w:rsidP="005C29B6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прекршочна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санкција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дејност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траење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една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087E65BD" w14:textId="54D2F98E" w:rsidR="009957EC" w:rsidRPr="00BF6A54" w:rsidRDefault="009957EC" w:rsidP="005C29B6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r>
              <w:rPr>
                <w:b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прекршочна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санкција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работи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врзани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располагање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користење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управување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ракување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траење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една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9FE53" w14:textId="77777777" w:rsidR="009957EC" w:rsidRPr="006800B0" w:rsidRDefault="009957EC" w:rsidP="00EE1D1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6800B0">
              <w:rPr>
                <w:lang w:val="mk-MK"/>
              </w:rPr>
              <w:lastRenderedPageBreak/>
              <w:t>Закон за техничка инспекција</w:t>
            </w:r>
          </w:p>
          <w:p w14:paraId="7411B63C" w14:textId="089E98C3" w:rsidR="009957EC" w:rsidRPr="006800B0" w:rsidRDefault="009957EC" w:rsidP="00087C5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344085">
              <w:rPr>
                <w:lang w:val="mk-MK"/>
              </w:rPr>
              <w:t xml:space="preserve">Правилник за користење </w:t>
            </w:r>
            <w:r>
              <w:rPr>
                <w:lang w:val="mk-MK"/>
              </w:rPr>
              <w:t>на опрема под притисок</w:t>
            </w:r>
            <w:r w:rsidRPr="00344085">
              <w:rPr>
                <w:lang w:val="mk-MK"/>
              </w:rPr>
              <w:t xml:space="preserve"> </w:t>
            </w:r>
          </w:p>
        </w:tc>
      </w:tr>
      <w:tr w:rsidR="009957EC" w:rsidRPr="00BF6A54" w14:paraId="7F6F06B3" w14:textId="77777777" w:rsidTr="00C147BB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A9A15B" w14:textId="27CF395B" w:rsidR="009957EC" w:rsidRPr="00BF6A54" w:rsidRDefault="009957EC" w:rsidP="008E17F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28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A01925" w14:textId="64E877FE" w:rsidR="009957EC" w:rsidRDefault="009957EC" w:rsidP="00C003C2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Дали за користење на опрема под притисок корисникот има с</w:t>
            </w:r>
            <w:r w:rsidRPr="00DD29F9">
              <w:rPr>
                <w:lang w:val="mk-MK"/>
              </w:rPr>
              <w:t>проведе</w:t>
            </w:r>
            <w:r>
              <w:rPr>
                <w:lang w:val="mk-MK"/>
              </w:rPr>
              <w:t>но</w:t>
            </w:r>
            <w:r w:rsidRPr="00DD29F9">
              <w:rPr>
                <w:lang w:val="mk-MK"/>
              </w:rPr>
              <w:t xml:space="preserve"> постапка за ставање </w:t>
            </w:r>
            <w:r>
              <w:rPr>
                <w:lang w:val="mk-MK"/>
              </w:rPr>
              <w:t>во</w:t>
            </w:r>
            <w:r w:rsidRPr="00DD29F9">
              <w:rPr>
                <w:lang w:val="mk-MK"/>
              </w:rPr>
              <w:t xml:space="preserve"> употреба </w:t>
            </w:r>
            <w:r>
              <w:rPr>
                <w:lang w:val="mk-MK"/>
              </w:rPr>
              <w:t xml:space="preserve">во согласност со </w:t>
            </w:r>
            <w:r w:rsidRPr="00344085">
              <w:rPr>
                <w:lang w:val="mk-MK"/>
              </w:rPr>
              <w:t xml:space="preserve">Правилник за користење </w:t>
            </w:r>
            <w:r>
              <w:rPr>
                <w:lang w:val="mk-MK"/>
              </w:rPr>
              <w:t>на опрема под притисок</w:t>
            </w:r>
            <w:r>
              <w:rPr>
                <w:lang w:val="en-US"/>
              </w:rPr>
              <w:t xml:space="preserve">, </w:t>
            </w:r>
            <w:r>
              <w:rPr>
                <w:lang w:val="mk-MK"/>
              </w:rPr>
              <w:t>односно има добиено решение за ставање во употреба или опремата е претходно ставена во употреба од страна на ДИТИ.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00C01" w14:textId="77777777" w:rsidR="009957EC" w:rsidRDefault="009957EC" w:rsidP="007F2E9B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53564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20464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6FF1684C" w14:textId="1F8F2CE2" w:rsidR="009957EC" w:rsidRPr="009D6C4B" w:rsidRDefault="009957EC" w:rsidP="007F2E9B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B0CDE" w14:textId="77777777" w:rsidR="009957EC" w:rsidRPr="00BF6A54" w:rsidRDefault="009957EC" w:rsidP="008E17F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6971CC" w14:textId="77777777" w:rsidR="009957EC" w:rsidRDefault="009957EC" w:rsidP="008E17F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F6E16" w14:textId="5375A9A5" w:rsidR="009957EC" w:rsidRDefault="009957EC" w:rsidP="00087C55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8E17F5" w:rsidRPr="001624E1" w14:paraId="6CB261CE" w14:textId="77777777" w:rsidTr="00910E09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32DD6" w14:textId="27F29770" w:rsidR="008E17F5" w:rsidRPr="001624E1" w:rsidRDefault="008E17F5" w:rsidP="008E17F5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pacing w:before="120" w:after="120" w:line="276" w:lineRule="auto"/>
              <w:jc w:val="center"/>
              <w:rPr>
                <w:b/>
                <w:lang w:val="mk-MK"/>
              </w:rPr>
            </w:pPr>
            <w:proofErr w:type="spellStart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lastRenderedPageBreak/>
              <w:t>Техничка</w:t>
            </w:r>
            <w:proofErr w:type="spellEnd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инспекција</w:t>
            </w:r>
            <w:proofErr w:type="spellEnd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при</w:t>
            </w:r>
            <w:proofErr w:type="spellEnd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624E1">
              <w:rPr>
                <w:rFonts w:ascii="Calibri" w:hAnsi="Calibri" w:cs="Calibri"/>
                <w:b/>
                <w:color w:val="000000"/>
                <w:shd w:val="clear" w:color="auto" w:fill="FFFFFF"/>
              </w:rPr>
              <w:t>користење</w:t>
            </w:r>
            <w:proofErr w:type="spellEnd"/>
          </w:p>
        </w:tc>
      </w:tr>
      <w:tr w:rsidR="009957EC" w:rsidRPr="00BF6A54" w14:paraId="75A631A2" w14:textId="77777777" w:rsidTr="005E7FF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B8BCB4" w14:textId="70F6A8EE" w:rsidR="009957EC" w:rsidRPr="00BF6A54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>31 став (2)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C3DF4" w14:textId="77DDDE34" w:rsidR="009957EC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Дали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техничкиот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преглед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периодичните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испитувања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за користење на </w:t>
            </w:r>
            <w:r>
              <w:rPr>
                <w:lang w:val="mk-MK"/>
              </w:rPr>
              <w:t>опрема под притисок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се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реализира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ни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според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распоредот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утврден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 </w:t>
            </w:r>
            <w:r w:rsidRPr="00344085">
              <w:rPr>
                <w:lang w:val="mk-MK"/>
              </w:rPr>
              <w:t xml:space="preserve">Правилник за користење </w:t>
            </w:r>
            <w:r>
              <w:rPr>
                <w:lang w:val="mk-MK"/>
              </w:rPr>
              <w:t>на опрема под притисок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76B84" w14:textId="77777777" w:rsidR="009957EC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38777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6392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6C4B">
                  <w:rPr>
                    <w:rFonts w:ascii="MS Gothic" w:eastAsia="MS Gothic" w:hAnsi="MS Gothic"/>
                    <w:bCs/>
                    <w:lang w:val="mk-MK"/>
                  </w:rPr>
                  <w:t>☐</w:t>
                </w:r>
              </w:sdtContent>
            </w:sdt>
          </w:p>
          <w:p w14:paraId="45517728" w14:textId="668AC80B" w:rsidR="009957EC" w:rsidRPr="009D6C4B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en-US"/>
              </w:rPr>
              <w:t xml:space="preserve">5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4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4C69EF" w14:textId="77777777" w:rsidR="009957EC" w:rsidRDefault="009957EC" w:rsidP="00C114B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37-а став (1)</w:t>
            </w:r>
            <w:r>
              <w:rPr>
                <w:lang w:val="mk-MK"/>
              </w:rPr>
              <w:br/>
              <w:t xml:space="preserve"> точка 5</w:t>
            </w:r>
          </w:p>
          <w:p w14:paraId="4988FC05" w14:textId="77777777" w:rsidR="009957EC" w:rsidRPr="008355C3" w:rsidRDefault="009957EC" w:rsidP="00C114B9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 xml:space="preserve">38 </w:t>
            </w:r>
            <w:r>
              <w:rPr>
                <w:lang w:val="mk-MK"/>
              </w:rPr>
              <w:br/>
              <w:t xml:space="preserve">став (1) </w:t>
            </w:r>
            <w:r>
              <w:rPr>
                <w:lang w:val="mk-MK"/>
              </w:rPr>
              <w:br/>
              <w:t xml:space="preserve">точка 5, </w:t>
            </w:r>
            <w:r>
              <w:rPr>
                <w:lang w:val="mk-MK"/>
              </w:rPr>
              <w:br/>
              <w:t xml:space="preserve">став (2), </w:t>
            </w:r>
            <w:r>
              <w:rPr>
                <w:lang w:val="mk-MK"/>
              </w:rPr>
              <w:br/>
              <w:t xml:space="preserve">став (3), </w:t>
            </w:r>
            <w:r>
              <w:rPr>
                <w:lang w:val="mk-MK"/>
              </w:rPr>
              <w:br/>
              <w:t>став (4)  и став (5)</w:t>
            </w:r>
          </w:p>
          <w:p w14:paraId="25E57E6C" w14:textId="77777777" w:rsidR="009957EC" w:rsidRDefault="009957EC" w:rsidP="0071561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Член 37-а став (1) </w:t>
            </w:r>
            <w:r>
              <w:rPr>
                <w:lang w:val="mk-MK"/>
              </w:rPr>
              <w:br/>
              <w:t>точка 4</w:t>
            </w:r>
          </w:p>
          <w:p w14:paraId="702FC734" w14:textId="77777777" w:rsidR="009957EC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t xml:space="preserve">Член </w:t>
            </w:r>
            <w:r>
              <w:rPr>
                <w:lang w:val="mk-MK"/>
              </w:rPr>
              <w:t xml:space="preserve">38 </w:t>
            </w:r>
            <w:r>
              <w:rPr>
                <w:lang w:val="mk-MK"/>
              </w:rPr>
              <w:br/>
            </w:r>
            <w:r>
              <w:rPr>
                <w:lang w:val="mk-MK"/>
              </w:rPr>
              <w:lastRenderedPageBreak/>
              <w:t xml:space="preserve">став (1) </w:t>
            </w:r>
            <w:r>
              <w:rPr>
                <w:lang w:val="mk-MK"/>
              </w:rPr>
              <w:br/>
              <w:t xml:space="preserve">точка 4, </w:t>
            </w:r>
          </w:p>
          <w:p w14:paraId="73FA0B27" w14:textId="77777777" w:rsidR="009957EC" w:rsidRPr="008355C3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 xml:space="preserve">став (2), </w:t>
            </w:r>
            <w:r>
              <w:rPr>
                <w:lang w:val="mk-MK"/>
              </w:rPr>
              <w:br/>
              <w:t xml:space="preserve">став (3), </w:t>
            </w:r>
            <w:r>
              <w:rPr>
                <w:lang w:val="mk-MK"/>
              </w:rPr>
              <w:br/>
              <w:t>став (4)  и став (5)</w:t>
            </w:r>
          </w:p>
          <w:p w14:paraId="6155183D" w14:textId="77777777" w:rsidR="009957EC" w:rsidRPr="00BF6A54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3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931F2" w14:textId="77777777" w:rsidR="009957EC" w:rsidRDefault="009957EC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lastRenderedPageBreak/>
              <w:t xml:space="preserve">-Инспекторот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донесе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решение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дејност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запечатување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просториите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објектите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градилиштата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средствата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работа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други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средства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отстранување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неправилностите</w:t>
            </w:r>
          </w:p>
          <w:p w14:paraId="583DDA7E" w14:textId="77777777" w:rsidR="009957EC" w:rsidRDefault="009957EC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7.000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денарска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противвредност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прекршок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  <w:p w14:paraId="57F3FBD9" w14:textId="77777777" w:rsidR="009957EC" w:rsidRDefault="009957EC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30%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одмерената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lastRenderedPageBreak/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биде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.</w:t>
            </w:r>
          </w:p>
          <w:p w14:paraId="46119923" w14:textId="77777777" w:rsidR="009957EC" w:rsidRDefault="009957EC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Глоба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износ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700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1.000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евра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денарска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противвредност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физичко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</w:p>
          <w:p w14:paraId="2C2C9D5F" w14:textId="77777777" w:rsidR="009957EC" w:rsidRDefault="009957EC" w:rsidP="00C114B9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прекршочна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санкција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дејност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траење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една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4F8F03D4" w14:textId="77777777" w:rsidR="009957EC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b/>
                <w:lang w:val="mk-MK"/>
              </w:rPr>
              <w:t>-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правното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односно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одговорното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лице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трговецот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поединец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ќе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му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изрече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прекршочна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санкција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привремена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забрана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работи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врзани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располагање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користење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управување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ракување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траење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една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година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188FCCC8" w14:textId="7B2E6107" w:rsidR="009957EC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92DB1" w14:textId="77777777" w:rsidR="009957EC" w:rsidRDefault="009957EC" w:rsidP="001767AA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  <w:p w14:paraId="5FAFC85B" w14:textId="42DA9373" w:rsidR="009957EC" w:rsidRPr="007D64D9" w:rsidRDefault="009957EC" w:rsidP="001767AA">
            <w:pPr>
              <w:pStyle w:val="NormalWeb"/>
              <w:shd w:val="clear" w:color="auto" w:fill="FFFFFF"/>
              <w:spacing w:before="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7D64D9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Закон за техничка инспекција</w:t>
            </w:r>
          </w:p>
        </w:tc>
      </w:tr>
      <w:tr w:rsidR="009957EC" w:rsidRPr="00BF6A54" w14:paraId="5522F508" w14:textId="77777777" w:rsidTr="005E7FF4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819FA" w14:textId="0FF3C76D" w:rsidR="009957EC" w:rsidRPr="00BF6A54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95061" w14:textId="401DE908" w:rsidR="009957EC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D7ACB" w14:textId="31B59319" w:rsidR="009957EC" w:rsidRPr="009D6C4B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3CAA9F" w14:textId="77777777" w:rsidR="009957EC" w:rsidRPr="00BF6A54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A4650" w14:textId="3CE8F1BF" w:rsidR="009957EC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85FE1" w14:textId="5E1CA1D4" w:rsidR="009957EC" w:rsidRPr="007D64D9" w:rsidRDefault="009957EC" w:rsidP="001767AA">
            <w:pPr>
              <w:pStyle w:val="NormalWeb"/>
              <w:shd w:val="clear" w:color="auto" w:fill="FFFFFF"/>
              <w:spacing w:before="0" w:beforeAutospacing="0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9957EC" w:rsidRPr="00BF6A54" w14:paraId="0B9A0F67" w14:textId="77777777" w:rsidTr="00032345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EE8D2" w14:textId="2D948D34" w:rsidR="009957EC" w:rsidRPr="00BF6A54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Член 31-а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6AA4F" w14:textId="25667BB7" w:rsidR="009957EC" w:rsidRPr="00BF6A54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е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овозможено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непречено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вршење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инспекцискиот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надзор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со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непосреден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увид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во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опрема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техничката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документација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0C099B9" w14:textId="77777777" w:rsidR="009957EC" w:rsidRPr="00BF6A54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1AED1" w14:textId="77777777" w:rsidR="009957EC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65276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85539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525471C8" w14:textId="4C99B7F5" w:rsidR="009957EC" w:rsidRPr="009D6C4B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en-US"/>
              </w:rPr>
              <w:t xml:space="preserve">5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BB592" w14:textId="5D9F6E88" w:rsidR="009957EC" w:rsidRPr="00BF6A54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16E50" w14:textId="48AF8A1B" w:rsidR="009957EC" w:rsidRPr="00BF6A54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41EFD1" w14:textId="77777777" w:rsidR="009957EC" w:rsidRPr="00BF6A54" w:rsidRDefault="009957EC" w:rsidP="001767AA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</w:p>
        </w:tc>
      </w:tr>
      <w:tr w:rsidR="00534D29" w:rsidRPr="00BF6A54" w14:paraId="134393D0" w14:textId="77777777" w:rsidTr="009957EC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CF8E0" w14:textId="77777777" w:rsidR="00534D29" w:rsidRPr="007B7E04" w:rsidRDefault="00534D29" w:rsidP="00A741B1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 w:rsidRPr="00BF6A54">
              <w:rPr>
                <w:lang w:val="mk-MK"/>
              </w:rPr>
              <w:lastRenderedPageBreak/>
              <w:t xml:space="preserve">Член </w:t>
            </w:r>
            <w:r>
              <w:rPr>
                <w:lang w:val="mk-MK"/>
              </w:rPr>
              <w:t>37 - б</w:t>
            </w:r>
          </w:p>
          <w:p w14:paraId="5C9B29E8" w14:textId="77777777" w:rsidR="00534D29" w:rsidRDefault="00534D29" w:rsidP="001767AA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A387D7" w14:textId="25767691" w:rsidR="00534D29" w:rsidRDefault="00534D29" w:rsidP="001767AA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Дали сите лице кое  извршуваат работни активности во правното лице имаат засновано работен однос и задолжително социјално осигурување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0603E" w14:textId="77777777" w:rsidR="00534D29" w:rsidRDefault="00534D29" w:rsidP="00A741B1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 w:rsidRPr="009D6C4B">
              <w:rPr>
                <w:bCs/>
                <w:lang w:val="mk-MK"/>
              </w:rPr>
              <w:t xml:space="preserve">Да </w:t>
            </w:r>
            <w:sdt>
              <w:sdtPr>
                <w:rPr>
                  <w:bCs/>
                  <w:lang w:val="mk-MK"/>
                </w:rPr>
                <w:id w:val="-101576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  <w:r w:rsidRPr="009D6C4B">
              <w:rPr>
                <w:bCs/>
                <w:lang w:val="mk-MK"/>
              </w:rPr>
              <w:t xml:space="preserve">  Не </w:t>
            </w:r>
            <w:sdt>
              <w:sdtPr>
                <w:rPr>
                  <w:bCs/>
                  <w:lang w:val="mk-MK"/>
                </w:rPr>
                <w:id w:val="-158992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mk-MK"/>
                  </w:rPr>
                  <w:t>☐</w:t>
                </w:r>
              </w:sdtContent>
            </w:sdt>
          </w:p>
          <w:p w14:paraId="679F25C9" w14:textId="47E90796" w:rsidR="00534D29" w:rsidRPr="009D6C4B" w:rsidRDefault="00534D29" w:rsidP="001767AA">
            <w:pPr>
              <w:shd w:val="clear" w:color="auto" w:fill="FFFFFF" w:themeFill="background1"/>
              <w:spacing w:before="120" w:after="120" w:line="276" w:lineRule="auto"/>
              <w:rPr>
                <w:bCs/>
                <w:lang w:val="mk-MK"/>
              </w:rPr>
            </w:pPr>
            <w:r>
              <w:rPr>
                <w:bCs/>
                <w:lang w:val="mk-MK"/>
              </w:rPr>
              <w:t>5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  <w:lang w:val="mk-MK"/>
              </w:rPr>
              <w:t>бодови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797253" w14:textId="51D4CFE5" w:rsidR="00534D29" w:rsidRDefault="00534D29" w:rsidP="00715615">
            <w:pPr>
              <w:shd w:val="clear" w:color="auto" w:fill="FFFFFF" w:themeFill="background1"/>
              <w:spacing w:before="120" w:after="120" w:line="276" w:lineRule="auto"/>
              <w:rPr>
                <w:lang w:val="mk-MK"/>
              </w:rPr>
            </w:pPr>
            <w:r>
              <w:rPr>
                <w:lang w:val="mk-MK"/>
              </w:rPr>
              <w:t>/</w:t>
            </w:r>
          </w:p>
        </w:tc>
        <w:tc>
          <w:tcPr>
            <w:tcW w:w="13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3BFFB" w14:textId="6C386C31" w:rsidR="00534D29" w:rsidRDefault="00534D29" w:rsidP="00715615">
            <w:pPr>
              <w:shd w:val="clear" w:color="auto" w:fill="FFFFFF" w:themeFill="background1"/>
              <w:spacing w:before="120" w:after="120" w:line="276" w:lineRule="auto"/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mk-MK"/>
              </w:rPr>
              <w:t>/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8D440" w14:textId="2A858395" w:rsidR="00534D29" w:rsidRPr="00BF6A54" w:rsidRDefault="00534D29" w:rsidP="001767AA">
            <w:pPr>
              <w:shd w:val="clear" w:color="auto" w:fill="FFFFFF" w:themeFill="background1"/>
              <w:spacing w:before="120" w:after="120" w:line="276" w:lineRule="auto"/>
              <w:rPr>
                <w:b/>
                <w:lang w:val="mk-MK"/>
              </w:rPr>
            </w:pPr>
            <w:bookmarkStart w:id="0" w:name="_GoBack"/>
            <w:bookmarkEnd w:id="0"/>
          </w:p>
        </w:tc>
      </w:tr>
    </w:tbl>
    <w:p w14:paraId="66D923A2" w14:textId="3338FDC1" w:rsidR="0090252F" w:rsidRDefault="0090252F" w:rsidP="00534D29">
      <w:pPr>
        <w:shd w:val="clear" w:color="auto" w:fill="FFFFFF" w:themeFill="background1"/>
        <w:rPr>
          <w:lang w:val="mk-MK"/>
        </w:rPr>
      </w:pPr>
    </w:p>
    <w:sectPr w:rsidR="0090252F" w:rsidSect="003169E3">
      <w:pgSz w:w="15840" w:h="12240" w:orient="landscape"/>
      <w:pgMar w:top="1699" w:right="1138" w:bottom="85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3604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0888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C03DC"/>
    <w:multiLevelType w:val="hybridMultilevel"/>
    <w:tmpl w:val="A7C269D8"/>
    <w:lvl w:ilvl="0" w:tplc="F97E12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37D36"/>
    <w:multiLevelType w:val="multilevel"/>
    <w:tmpl w:val="2AC42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25A4519"/>
    <w:multiLevelType w:val="hybridMultilevel"/>
    <w:tmpl w:val="B168525E"/>
    <w:lvl w:ilvl="0" w:tplc="3A9003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2302E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C5787"/>
    <w:multiLevelType w:val="hybridMultilevel"/>
    <w:tmpl w:val="1A626166"/>
    <w:lvl w:ilvl="0" w:tplc="96FCB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5D9D"/>
    <w:multiLevelType w:val="hybridMultilevel"/>
    <w:tmpl w:val="B2781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758FC"/>
    <w:multiLevelType w:val="hybridMultilevel"/>
    <w:tmpl w:val="D19A7E4A"/>
    <w:lvl w:ilvl="0" w:tplc="A70851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1F0"/>
    <w:rsid w:val="00002D17"/>
    <w:rsid w:val="0000336E"/>
    <w:rsid w:val="000103D1"/>
    <w:rsid w:val="000152F5"/>
    <w:rsid w:val="00023744"/>
    <w:rsid w:val="0003030C"/>
    <w:rsid w:val="00030BC4"/>
    <w:rsid w:val="00037173"/>
    <w:rsid w:val="00047F3D"/>
    <w:rsid w:val="00050F2A"/>
    <w:rsid w:val="00051230"/>
    <w:rsid w:val="00061669"/>
    <w:rsid w:val="0006617A"/>
    <w:rsid w:val="00067A61"/>
    <w:rsid w:val="00071406"/>
    <w:rsid w:val="0007215E"/>
    <w:rsid w:val="00076A90"/>
    <w:rsid w:val="00081B2D"/>
    <w:rsid w:val="00087273"/>
    <w:rsid w:val="00087C55"/>
    <w:rsid w:val="000901A0"/>
    <w:rsid w:val="000965A9"/>
    <w:rsid w:val="000A16FB"/>
    <w:rsid w:val="000A3122"/>
    <w:rsid w:val="000B3C8C"/>
    <w:rsid w:val="000D3216"/>
    <w:rsid w:val="000E07B9"/>
    <w:rsid w:val="000E55C3"/>
    <w:rsid w:val="000E75FE"/>
    <w:rsid w:val="000F2337"/>
    <w:rsid w:val="000F2CA4"/>
    <w:rsid w:val="00104641"/>
    <w:rsid w:val="00105E0A"/>
    <w:rsid w:val="00112228"/>
    <w:rsid w:val="00124697"/>
    <w:rsid w:val="00140411"/>
    <w:rsid w:val="00141867"/>
    <w:rsid w:val="00152092"/>
    <w:rsid w:val="001522FE"/>
    <w:rsid w:val="001624E1"/>
    <w:rsid w:val="001649F7"/>
    <w:rsid w:val="00173B14"/>
    <w:rsid w:val="001767AA"/>
    <w:rsid w:val="00183804"/>
    <w:rsid w:val="001A3D3D"/>
    <w:rsid w:val="001A414F"/>
    <w:rsid w:val="001A5F76"/>
    <w:rsid w:val="001B4E0C"/>
    <w:rsid w:val="001B5859"/>
    <w:rsid w:val="001B601D"/>
    <w:rsid w:val="001C7AE9"/>
    <w:rsid w:val="001D00C9"/>
    <w:rsid w:val="001D38E9"/>
    <w:rsid w:val="001D3A66"/>
    <w:rsid w:val="001E06F6"/>
    <w:rsid w:val="001E4774"/>
    <w:rsid w:val="0020583B"/>
    <w:rsid w:val="002058FE"/>
    <w:rsid w:val="0020732E"/>
    <w:rsid w:val="00213574"/>
    <w:rsid w:val="00214C60"/>
    <w:rsid w:val="00226A60"/>
    <w:rsid w:val="00226BD2"/>
    <w:rsid w:val="002411B6"/>
    <w:rsid w:val="00255A39"/>
    <w:rsid w:val="00256B3D"/>
    <w:rsid w:val="00267ABC"/>
    <w:rsid w:val="00274F7C"/>
    <w:rsid w:val="00283F6E"/>
    <w:rsid w:val="002962B4"/>
    <w:rsid w:val="002A0312"/>
    <w:rsid w:val="002A1F75"/>
    <w:rsid w:val="002A2CBC"/>
    <w:rsid w:val="002B3B7B"/>
    <w:rsid w:val="002C2007"/>
    <w:rsid w:val="002D77EC"/>
    <w:rsid w:val="002E45A9"/>
    <w:rsid w:val="002E4EF3"/>
    <w:rsid w:val="00303F60"/>
    <w:rsid w:val="003054E5"/>
    <w:rsid w:val="00307BE4"/>
    <w:rsid w:val="003169E3"/>
    <w:rsid w:val="00317729"/>
    <w:rsid w:val="003243A6"/>
    <w:rsid w:val="00331A59"/>
    <w:rsid w:val="00334F89"/>
    <w:rsid w:val="003410FD"/>
    <w:rsid w:val="00341475"/>
    <w:rsid w:val="00344085"/>
    <w:rsid w:val="0034527D"/>
    <w:rsid w:val="00350018"/>
    <w:rsid w:val="003550C0"/>
    <w:rsid w:val="00364C91"/>
    <w:rsid w:val="0037144D"/>
    <w:rsid w:val="00373A3E"/>
    <w:rsid w:val="003740A6"/>
    <w:rsid w:val="00376F00"/>
    <w:rsid w:val="003822FE"/>
    <w:rsid w:val="00383741"/>
    <w:rsid w:val="0038684F"/>
    <w:rsid w:val="003922A6"/>
    <w:rsid w:val="003B0140"/>
    <w:rsid w:val="003B7C76"/>
    <w:rsid w:val="003C3A9E"/>
    <w:rsid w:val="003C55B7"/>
    <w:rsid w:val="003D2C57"/>
    <w:rsid w:val="003E51E6"/>
    <w:rsid w:val="003F1E46"/>
    <w:rsid w:val="00400F98"/>
    <w:rsid w:val="004014FA"/>
    <w:rsid w:val="0040225A"/>
    <w:rsid w:val="00411053"/>
    <w:rsid w:val="00414C5D"/>
    <w:rsid w:val="00416D6A"/>
    <w:rsid w:val="004445F6"/>
    <w:rsid w:val="004515D2"/>
    <w:rsid w:val="00486251"/>
    <w:rsid w:val="00490160"/>
    <w:rsid w:val="004930A2"/>
    <w:rsid w:val="00496DB3"/>
    <w:rsid w:val="004A072D"/>
    <w:rsid w:val="004A2D3D"/>
    <w:rsid w:val="004A613D"/>
    <w:rsid w:val="004B21A3"/>
    <w:rsid w:val="004B3581"/>
    <w:rsid w:val="004C6AF9"/>
    <w:rsid w:val="004D335B"/>
    <w:rsid w:val="004D5A75"/>
    <w:rsid w:val="004E2CDE"/>
    <w:rsid w:val="004E30C4"/>
    <w:rsid w:val="005019CA"/>
    <w:rsid w:val="0050441E"/>
    <w:rsid w:val="005132F5"/>
    <w:rsid w:val="00517236"/>
    <w:rsid w:val="0052632D"/>
    <w:rsid w:val="00526D4E"/>
    <w:rsid w:val="005341A0"/>
    <w:rsid w:val="00534D29"/>
    <w:rsid w:val="0053676E"/>
    <w:rsid w:val="00537E29"/>
    <w:rsid w:val="00552CD0"/>
    <w:rsid w:val="00570DE6"/>
    <w:rsid w:val="005725CB"/>
    <w:rsid w:val="00576435"/>
    <w:rsid w:val="00576576"/>
    <w:rsid w:val="00580DE9"/>
    <w:rsid w:val="00580DF9"/>
    <w:rsid w:val="005871BD"/>
    <w:rsid w:val="005932AA"/>
    <w:rsid w:val="005A2A1A"/>
    <w:rsid w:val="005A2ADF"/>
    <w:rsid w:val="005B5510"/>
    <w:rsid w:val="005C014B"/>
    <w:rsid w:val="005C1B99"/>
    <w:rsid w:val="005C29B6"/>
    <w:rsid w:val="005C6BF9"/>
    <w:rsid w:val="005D76BE"/>
    <w:rsid w:val="005F532B"/>
    <w:rsid w:val="005F6BD1"/>
    <w:rsid w:val="00603CF1"/>
    <w:rsid w:val="00605879"/>
    <w:rsid w:val="00606447"/>
    <w:rsid w:val="00614EB7"/>
    <w:rsid w:val="00625848"/>
    <w:rsid w:val="006307E6"/>
    <w:rsid w:val="006326FB"/>
    <w:rsid w:val="00641446"/>
    <w:rsid w:val="0064301E"/>
    <w:rsid w:val="006454C0"/>
    <w:rsid w:val="00650681"/>
    <w:rsid w:val="00656A42"/>
    <w:rsid w:val="00663E4D"/>
    <w:rsid w:val="00666ACE"/>
    <w:rsid w:val="00671A4D"/>
    <w:rsid w:val="00672D76"/>
    <w:rsid w:val="006800B0"/>
    <w:rsid w:val="00680CB9"/>
    <w:rsid w:val="006832D3"/>
    <w:rsid w:val="006B5BC7"/>
    <w:rsid w:val="006C0FB5"/>
    <w:rsid w:val="006D1CB4"/>
    <w:rsid w:val="006D4F55"/>
    <w:rsid w:val="006D5461"/>
    <w:rsid w:val="006F1DE9"/>
    <w:rsid w:val="00700A38"/>
    <w:rsid w:val="00704B94"/>
    <w:rsid w:val="0071030F"/>
    <w:rsid w:val="00713851"/>
    <w:rsid w:val="00715615"/>
    <w:rsid w:val="00717EF6"/>
    <w:rsid w:val="0073174F"/>
    <w:rsid w:val="00736FB5"/>
    <w:rsid w:val="00746F7D"/>
    <w:rsid w:val="00750AEF"/>
    <w:rsid w:val="00757B99"/>
    <w:rsid w:val="00762AA2"/>
    <w:rsid w:val="00766DA8"/>
    <w:rsid w:val="00774E1A"/>
    <w:rsid w:val="00795FED"/>
    <w:rsid w:val="007A00D7"/>
    <w:rsid w:val="007A06CE"/>
    <w:rsid w:val="007A0C64"/>
    <w:rsid w:val="007A1E80"/>
    <w:rsid w:val="007A4672"/>
    <w:rsid w:val="007B1187"/>
    <w:rsid w:val="007B2F36"/>
    <w:rsid w:val="007B632E"/>
    <w:rsid w:val="007B7E04"/>
    <w:rsid w:val="007C40C3"/>
    <w:rsid w:val="007C7D74"/>
    <w:rsid w:val="007D1FF6"/>
    <w:rsid w:val="007D473C"/>
    <w:rsid w:val="007D64D9"/>
    <w:rsid w:val="007E1467"/>
    <w:rsid w:val="007E1986"/>
    <w:rsid w:val="007E5A3E"/>
    <w:rsid w:val="007F2E9B"/>
    <w:rsid w:val="00803E2B"/>
    <w:rsid w:val="00820BE9"/>
    <w:rsid w:val="008355C3"/>
    <w:rsid w:val="00837C0E"/>
    <w:rsid w:val="00864E10"/>
    <w:rsid w:val="00873696"/>
    <w:rsid w:val="008B198D"/>
    <w:rsid w:val="008B6567"/>
    <w:rsid w:val="008C2366"/>
    <w:rsid w:val="008D05EE"/>
    <w:rsid w:val="008D5EC3"/>
    <w:rsid w:val="008E17F5"/>
    <w:rsid w:val="00901E2B"/>
    <w:rsid w:val="009021F4"/>
    <w:rsid w:val="0090252F"/>
    <w:rsid w:val="009025E8"/>
    <w:rsid w:val="009106D3"/>
    <w:rsid w:val="00910E09"/>
    <w:rsid w:val="00915AF0"/>
    <w:rsid w:val="0092434F"/>
    <w:rsid w:val="00941A27"/>
    <w:rsid w:val="009448CF"/>
    <w:rsid w:val="00945E9B"/>
    <w:rsid w:val="00946899"/>
    <w:rsid w:val="009546C5"/>
    <w:rsid w:val="00960731"/>
    <w:rsid w:val="00962BA7"/>
    <w:rsid w:val="0098007E"/>
    <w:rsid w:val="00980201"/>
    <w:rsid w:val="009957EC"/>
    <w:rsid w:val="009A3C54"/>
    <w:rsid w:val="009B4469"/>
    <w:rsid w:val="009D0D2C"/>
    <w:rsid w:val="009D1018"/>
    <w:rsid w:val="009D48A5"/>
    <w:rsid w:val="009D6C4B"/>
    <w:rsid w:val="009F0173"/>
    <w:rsid w:val="009F4338"/>
    <w:rsid w:val="00A0180C"/>
    <w:rsid w:val="00A05AB6"/>
    <w:rsid w:val="00A05E62"/>
    <w:rsid w:val="00A151C7"/>
    <w:rsid w:val="00A203E1"/>
    <w:rsid w:val="00A20F1C"/>
    <w:rsid w:val="00A23370"/>
    <w:rsid w:val="00A237DC"/>
    <w:rsid w:val="00A24006"/>
    <w:rsid w:val="00A420D9"/>
    <w:rsid w:val="00A5161E"/>
    <w:rsid w:val="00A5252D"/>
    <w:rsid w:val="00A556E2"/>
    <w:rsid w:val="00A62D6F"/>
    <w:rsid w:val="00A67789"/>
    <w:rsid w:val="00A70A49"/>
    <w:rsid w:val="00A7236D"/>
    <w:rsid w:val="00A74A77"/>
    <w:rsid w:val="00A9060D"/>
    <w:rsid w:val="00A95463"/>
    <w:rsid w:val="00AA0E51"/>
    <w:rsid w:val="00AA5E5A"/>
    <w:rsid w:val="00AA6789"/>
    <w:rsid w:val="00AB07FF"/>
    <w:rsid w:val="00AF5465"/>
    <w:rsid w:val="00AF7C5E"/>
    <w:rsid w:val="00B0312B"/>
    <w:rsid w:val="00B17AA5"/>
    <w:rsid w:val="00B27A44"/>
    <w:rsid w:val="00B35030"/>
    <w:rsid w:val="00B37047"/>
    <w:rsid w:val="00B454BC"/>
    <w:rsid w:val="00B45B27"/>
    <w:rsid w:val="00B525BB"/>
    <w:rsid w:val="00B55E6D"/>
    <w:rsid w:val="00B82C13"/>
    <w:rsid w:val="00B86000"/>
    <w:rsid w:val="00B86A1B"/>
    <w:rsid w:val="00B87DF9"/>
    <w:rsid w:val="00B92B1D"/>
    <w:rsid w:val="00B96531"/>
    <w:rsid w:val="00BA2C9D"/>
    <w:rsid w:val="00BC2C8B"/>
    <w:rsid w:val="00BC5019"/>
    <w:rsid w:val="00BD2E6A"/>
    <w:rsid w:val="00BF6A54"/>
    <w:rsid w:val="00BF6CB8"/>
    <w:rsid w:val="00C003C2"/>
    <w:rsid w:val="00C072CB"/>
    <w:rsid w:val="00C14C10"/>
    <w:rsid w:val="00C16E24"/>
    <w:rsid w:val="00C23553"/>
    <w:rsid w:val="00C23E12"/>
    <w:rsid w:val="00C24104"/>
    <w:rsid w:val="00C26868"/>
    <w:rsid w:val="00C425A6"/>
    <w:rsid w:val="00C42CF6"/>
    <w:rsid w:val="00C433DC"/>
    <w:rsid w:val="00C4683C"/>
    <w:rsid w:val="00C4719D"/>
    <w:rsid w:val="00C5196C"/>
    <w:rsid w:val="00C57B84"/>
    <w:rsid w:val="00C6552D"/>
    <w:rsid w:val="00C71412"/>
    <w:rsid w:val="00C8219D"/>
    <w:rsid w:val="00C90E6B"/>
    <w:rsid w:val="00C96319"/>
    <w:rsid w:val="00C97D91"/>
    <w:rsid w:val="00CA174A"/>
    <w:rsid w:val="00CA2046"/>
    <w:rsid w:val="00CB39BD"/>
    <w:rsid w:val="00CB5845"/>
    <w:rsid w:val="00CB6873"/>
    <w:rsid w:val="00CC0412"/>
    <w:rsid w:val="00CC07B0"/>
    <w:rsid w:val="00CE2475"/>
    <w:rsid w:val="00CE5A8C"/>
    <w:rsid w:val="00CF1D88"/>
    <w:rsid w:val="00CF66F8"/>
    <w:rsid w:val="00D1402A"/>
    <w:rsid w:val="00D3007D"/>
    <w:rsid w:val="00D31CE1"/>
    <w:rsid w:val="00D33D50"/>
    <w:rsid w:val="00D3589B"/>
    <w:rsid w:val="00D55123"/>
    <w:rsid w:val="00D57014"/>
    <w:rsid w:val="00D572BE"/>
    <w:rsid w:val="00D701B3"/>
    <w:rsid w:val="00D70EB2"/>
    <w:rsid w:val="00D81DD6"/>
    <w:rsid w:val="00D82D7F"/>
    <w:rsid w:val="00D854C9"/>
    <w:rsid w:val="00D85715"/>
    <w:rsid w:val="00D869AF"/>
    <w:rsid w:val="00D91DF9"/>
    <w:rsid w:val="00D9521F"/>
    <w:rsid w:val="00DA0308"/>
    <w:rsid w:val="00DA065F"/>
    <w:rsid w:val="00DA6B3B"/>
    <w:rsid w:val="00DB20BD"/>
    <w:rsid w:val="00DB211E"/>
    <w:rsid w:val="00DB7F11"/>
    <w:rsid w:val="00DC12AB"/>
    <w:rsid w:val="00DC1D63"/>
    <w:rsid w:val="00DC2702"/>
    <w:rsid w:val="00DC7FE7"/>
    <w:rsid w:val="00DD29F9"/>
    <w:rsid w:val="00DD2D5B"/>
    <w:rsid w:val="00DD4299"/>
    <w:rsid w:val="00DE03A8"/>
    <w:rsid w:val="00DE101B"/>
    <w:rsid w:val="00DE22FE"/>
    <w:rsid w:val="00DF4061"/>
    <w:rsid w:val="00DF44DA"/>
    <w:rsid w:val="00E16751"/>
    <w:rsid w:val="00E33879"/>
    <w:rsid w:val="00E3722C"/>
    <w:rsid w:val="00E557B3"/>
    <w:rsid w:val="00E55DBF"/>
    <w:rsid w:val="00E71D87"/>
    <w:rsid w:val="00E72BE9"/>
    <w:rsid w:val="00E753CB"/>
    <w:rsid w:val="00E76144"/>
    <w:rsid w:val="00E77E67"/>
    <w:rsid w:val="00E87F6A"/>
    <w:rsid w:val="00E967B0"/>
    <w:rsid w:val="00E968E4"/>
    <w:rsid w:val="00EA5836"/>
    <w:rsid w:val="00EB348B"/>
    <w:rsid w:val="00EB7543"/>
    <w:rsid w:val="00EC4E19"/>
    <w:rsid w:val="00ED5A9A"/>
    <w:rsid w:val="00EE0623"/>
    <w:rsid w:val="00EE11AB"/>
    <w:rsid w:val="00EE1D15"/>
    <w:rsid w:val="00EE30CE"/>
    <w:rsid w:val="00EE31DB"/>
    <w:rsid w:val="00F06928"/>
    <w:rsid w:val="00F06B58"/>
    <w:rsid w:val="00F06F96"/>
    <w:rsid w:val="00F076AC"/>
    <w:rsid w:val="00F1047E"/>
    <w:rsid w:val="00F13BA5"/>
    <w:rsid w:val="00F22659"/>
    <w:rsid w:val="00F341F0"/>
    <w:rsid w:val="00F3537D"/>
    <w:rsid w:val="00F50FFF"/>
    <w:rsid w:val="00F5170E"/>
    <w:rsid w:val="00F52393"/>
    <w:rsid w:val="00F57526"/>
    <w:rsid w:val="00F60855"/>
    <w:rsid w:val="00F62355"/>
    <w:rsid w:val="00F84101"/>
    <w:rsid w:val="00F84B9F"/>
    <w:rsid w:val="00F86081"/>
    <w:rsid w:val="00FB33EF"/>
    <w:rsid w:val="00FB4A12"/>
    <w:rsid w:val="00FD6C3C"/>
    <w:rsid w:val="00FF3DF1"/>
    <w:rsid w:val="00FF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83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10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0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E3"/>
    <w:pPr>
      <w:spacing w:line="256" w:lineRule="auto"/>
    </w:pPr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910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316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9E3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169E3"/>
    <w:rPr>
      <w:sz w:val="16"/>
      <w:szCs w:val="16"/>
    </w:rPr>
  </w:style>
  <w:style w:type="table" w:styleId="TableGrid">
    <w:name w:val="Table Grid"/>
    <w:basedOn w:val="TableNormal"/>
    <w:uiPriority w:val="39"/>
    <w:rsid w:val="003169E3"/>
    <w:pPr>
      <w:spacing w:after="0" w:line="240" w:lineRule="auto"/>
    </w:pPr>
    <w:rPr>
      <w:lang w:val="mk-M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E3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EF6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76144"/>
    <w:pPr>
      <w:ind w:left="720"/>
      <w:contextualSpacing/>
    </w:pPr>
  </w:style>
  <w:style w:type="paragraph" w:styleId="Revision">
    <w:name w:val="Revision"/>
    <w:hidden/>
    <w:uiPriority w:val="99"/>
    <w:semiHidden/>
    <w:rsid w:val="00F86081"/>
    <w:pPr>
      <w:spacing w:after="0" w:line="240" w:lineRule="auto"/>
    </w:pPr>
    <w:rPr>
      <w:lang w:val="en-GB"/>
    </w:rPr>
  </w:style>
  <w:style w:type="character" w:styleId="Strong">
    <w:name w:val="Strong"/>
    <w:basedOn w:val="DefaultParagraphFont"/>
    <w:uiPriority w:val="22"/>
    <w:qFormat/>
    <w:rsid w:val="000F233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10E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6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CB7F4-AE2E-4E04-9F56-919BF20E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7</cp:revision>
  <dcterms:created xsi:type="dcterms:W3CDTF">2019-12-19T17:22:00Z</dcterms:created>
  <dcterms:modified xsi:type="dcterms:W3CDTF">2020-01-09T09:03:00Z</dcterms:modified>
</cp:coreProperties>
</file>